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WEST ALAMEDA COUNTY CONFERENCE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MINUTES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AD MEETING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TUESDAY, FEBRUARY 11, 2025</w:t>
      </w:r>
    </w:p>
    <w:p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THE MEETING WAS ZOOMED</w:t>
      </w:r>
    </w:p>
    <w:p>
      <w:pPr>
        <w:pStyle w:val="Default"/>
        <w:jc w:val="center"/>
        <w:rPr>
          <w:outline w:val="0"/>
          <w:color w:val="ff0000"/>
          <w:sz w:val="22"/>
          <w:szCs w:val="22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Present: </w:t>
      </w:r>
    </w:p>
    <w:p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All schools were represented</w:t>
      </w:r>
    </w:p>
    <w:p>
      <w:pPr>
        <w:pStyle w:val="Default"/>
        <w:ind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Commissioner (Kiesel)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Absent: None</w:t>
        <w:tab/>
        <w:tab/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Guests: None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1. There was no public input.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2. There were no changes to the January 22. 2025 AD minutes.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3. AD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reviewed the 2/24 NCS SAC agenda. WACC representatives were directed: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To support Item V. C.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the proposal to modify the flag football calendar and expand the playoffs into two divisions (unanimous)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To express some concerns about IV. C.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the CIF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expansion of sanctions for coaches and adults who are ejected from contests. (consensus)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To oppose all four CMC proposals, VI. A. (consensus) to modify the new NCS playoff structure. AD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acknowledge the need for modification in some areas but feel it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 xml:space="preserve">s too soon to make changes. In addition,  some changes appear confusing and are poorly worded. </w:t>
      </w:r>
    </w:p>
    <w:p>
      <w:pPr>
        <w:pStyle w:val="Default"/>
        <w:numPr>
          <w:ilvl w:val="0"/>
          <w:numId w:val="2"/>
        </w:numPr>
        <w:bidi w:val="0"/>
        <w:ind w:right="0"/>
        <w:jc w:val="left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To support (consensus) VI. B. the allocation of baseball and softball NorCal entries.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4. The present structure and scheduling of the WACC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Foothill Girls</w:t>
      </w:r>
      <w:r>
        <w:rPr>
          <w:sz w:val="22"/>
          <w:szCs w:val="22"/>
          <w:rtl w:val="0"/>
          <w:lang w:val="en-US"/>
        </w:rPr>
        <w:t xml:space="preserve">’ </w:t>
      </w:r>
      <w:r>
        <w:rPr>
          <w:sz w:val="22"/>
          <w:szCs w:val="22"/>
          <w:rtl w:val="0"/>
          <w:lang w:val="en-US"/>
        </w:rPr>
        <w:t>Basketball program is competitively inequitable. AD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support the following realignment and scheduling: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Alignment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Foothill A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Alameda, O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Dowd, and Piedmont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Foothill B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Castro Valley, Encinal, and San Leandro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Shoreline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Arroyo, Berkeley, Hayward, Mt. Eden, San Lorenzo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</w:rPr>
        <w:tab/>
        <w:tab/>
        <w:t xml:space="preserve">Independent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Tennyson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Scheduling</w:t>
      </w:r>
    </w:p>
    <w:p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Foothill A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 xml:space="preserve">home and away against the other Foothill A schools; single game against Foothill B schools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7 games</w:t>
      </w:r>
    </w:p>
    <w:p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Foothill B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 xml:space="preserve">home and away against the other Foothill B schools; single game against Foothill A schools; single games against Shoreline schools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12 games</w:t>
      </w:r>
    </w:p>
    <w:p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Shoreline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 xml:space="preserve">home and away against the other four Shoreline schools; single game against Foothill B schools </w:t>
      </w:r>
      <w:r>
        <w:rPr>
          <w:sz w:val="22"/>
          <w:szCs w:val="22"/>
          <w:rtl w:val="0"/>
          <w:lang w:val="en-US"/>
        </w:rPr>
        <w:t xml:space="preserve">– </w:t>
      </w:r>
      <w:r>
        <w:rPr>
          <w:sz w:val="22"/>
          <w:szCs w:val="22"/>
          <w:rtl w:val="0"/>
          <w:lang w:val="en-US"/>
        </w:rPr>
        <w:t>11 games</w:t>
      </w:r>
    </w:p>
    <w:p>
      <w:pPr>
        <w:pStyle w:val="Default"/>
        <w:ind w:left="720" w:firstLine="720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The league commissioner was asked to develop a schedule reflecting the above, while at the same time meeting the WACC Board</w:t>
      </w:r>
      <w:r>
        <w:rPr>
          <w:sz w:val="22"/>
          <w:szCs w:val="22"/>
          <w:rtl w:val="0"/>
          <w:lang w:val="en-US"/>
        </w:rPr>
        <w:t>’</w:t>
      </w:r>
      <w:r>
        <w:rPr>
          <w:sz w:val="22"/>
          <w:szCs w:val="22"/>
          <w:rtl w:val="0"/>
          <w:lang w:val="en-US"/>
        </w:rPr>
        <w:t>s direction to schedule boys</w:t>
      </w:r>
      <w:r>
        <w:rPr>
          <w:sz w:val="22"/>
          <w:szCs w:val="22"/>
          <w:rtl w:val="0"/>
          <w:lang w:val="en-US"/>
        </w:rPr>
        <w:t xml:space="preserve">’ </w:t>
      </w:r>
      <w:r>
        <w:rPr>
          <w:sz w:val="22"/>
          <w:szCs w:val="22"/>
          <w:rtl w:val="0"/>
          <w:lang w:val="en-US"/>
        </w:rPr>
        <w:t>varsity and girls</w:t>
      </w:r>
      <w:r>
        <w:rPr>
          <w:sz w:val="22"/>
          <w:szCs w:val="22"/>
          <w:rtl w:val="0"/>
          <w:lang w:val="en-US"/>
        </w:rPr>
        <w:t xml:space="preserve">’ </w:t>
      </w:r>
      <w:r>
        <w:rPr>
          <w:sz w:val="22"/>
          <w:szCs w:val="22"/>
          <w:rtl w:val="0"/>
          <w:lang w:val="en-US"/>
        </w:rPr>
        <w:t xml:space="preserve">varsity games on the same date at the same site where possible. </w:t>
      </w:r>
    </w:p>
    <w:p>
      <w:pPr>
        <w:pStyle w:val="Default"/>
        <w:rPr>
          <w:sz w:val="22"/>
          <w:szCs w:val="22"/>
        </w:rPr>
      </w:pP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Respectfully Submitted:</w:t>
      </w:r>
    </w:p>
    <w:p>
      <w:pPr>
        <w:pStyle w:val="Default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Dave Kiesel, WACC Commissioner</w:t>
      </w:r>
    </w:p>
    <w:p>
      <w:pPr>
        <w:pStyle w:val="Default"/>
        <w:rPr>
          <w:sz w:val="22"/>
          <w:szCs w:val="22"/>
        </w:rPr>
      </w:pPr>
    </w:p>
    <w:p>
      <w:pPr>
        <w:pStyle w:val="Default"/>
      </w:pPr>
      <w:r>
        <w:rPr>
          <w:sz w:val="22"/>
          <w:szCs w:val="22"/>
          <w:rtl w:val="0"/>
          <w:lang w:val="en-US"/>
        </w:rPr>
        <w:t>Next Meeting: Tuesday, March 11; 8:00 am; Hayward High STEAM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